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146" w:rsidRPr="00BA67FE" w:rsidRDefault="002A7146" w:rsidP="002A7146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2A7146" w:rsidRPr="00BA67FE" w:rsidRDefault="002A7146" w:rsidP="002A7146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2A7146" w:rsidRPr="00BA67FE" w:rsidRDefault="002A7146" w:rsidP="002A7146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2A7146" w:rsidRPr="00BA67FE" w:rsidRDefault="002A7146" w:rsidP="002A714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A7146" w:rsidRPr="00BA67FE" w:rsidTr="00FD690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A7146" w:rsidRPr="006C2E98" w:rsidRDefault="002A7146" w:rsidP="00FD690A">
            <w:pPr>
              <w:pStyle w:val="Zawartotabeli"/>
              <w:jc w:val="center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Style w:val="FontStyle37"/>
                <w:rFonts w:ascii="Arial" w:hAnsi="Arial"/>
                <w:sz w:val="20"/>
                <w:szCs w:val="20"/>
              </w:rPr>
              <w:t>Pole literackie pomiędzy recepcją a nauką - Friedrich Hebbel jako przykład</w:t>
            </w:r>
          </w:p>
        </w:tc>
      </w:tr>
      <w:tr w:rsidR="002A7146" w:rsidRPr="00850574" w:rsidTr="00FD690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A7146" w:rsidRPr="009B63D9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 literary field between reception and science – Friedrich Hebbel as an example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2A7146" w:rsidRPr="00BA67FE" w:rsidRDefault="002A7146" w:rsidP="002A7146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A7146" w:rsidRPr="00BA67FE" w:rsidTr="00FD690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2A7146" w:rsidRPr="006C2E98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2A7146" w:rsidRPr="00BA67FE" w:rsidRDefault="002A7146" w:rsidP="002A714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A7146" w:rsidRPr="00BA67FE" w:rsidTr="00FD690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Paul Martin Langner, Prof. UP</w:t>
            </w:r>
          </w:p>
          <w:p w:rsidR="002A7146" w:rsidRPr="006C2E98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 Paul Martin Langner, </w:t>
            </w:r>
          </w:p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UP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A7146" w:rsidRPr="00BA67FE" w:rsidTr="00FD690A">
        <w:trPr>
          <w:trHeight w:val="1365"/>
        </w:trPr>
        <w:tc>
          <w:tcPr>
            <w:tcW w:w="9640" w:type="dxa"/>
          </w:tcPr>
          <w:p w:rsidR="002A7146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7146" w:rsidRPr="00573058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Celem </w:t>
            </w:r>
            <w:r>
              <w:rPr>
                <w:rFonts w:ascii="Arial" w:hAnsi="Arial" w:cs="Arial"/>
                <w:sz w:val="20"/>
                <w:szCs w:val="20"/>
              </w:rPr>
              <w:t>kursu jest omówienie znaczenia specyficznych problemów związanych z oceną, badaniem zjawisk literackich, zarówno w kontekście historycznym, politycznym i artystycznym. Zagadnienie prezentowane jest na wybranych tekstach, tj. utworach literackich, pismach teoretycznych. Poszczególne kwestie omawiane są według klucza chronologiczno-problemowego. Kurs prowadzony jest w j. niemieckim.</w:t>
            </w:r>
          </w:p>
          <w:p w:rsidR="002A7146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7146" w:rsidRPr="00273FC2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2A7146" w:rsidRPr="006C2E98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2A7146" w:rsidRPr="006C2E98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doskonali umiejętność interpretacji różnorodnych tekstów;</w:t>
            </w:r>
            <w:r w:rsidRPr="006C2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6C2E98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poszerza wiedzę w zakresie historii, kultury i literatury niemieckiej;</w:t>
            </w:r>
          </w:p>
          <w:p w:rsidR="002A7146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poszerza słownictwo fachowe w zakresie literaturoznawstwa i historii;</w:t>
            </w:r>
          </w:p>
          <w:p w:rsidR="002A7146" w:rsidRPr="00155E86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doskonali umiejętność swobodnej wypowiedzi ustnej.</w:t>
            </w:r>
            <w:r w:rsidRPr="006C2E9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A7146" w:rsidRPr="00273FC2" w:rsidRDefault="002A7146" w:rsidP="00FD690A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2A7146" w:rsidRPr="00BA67FE" w:rsidTr="00FD690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2A7146" w:rsidRPr="00BA67FE" w:rsidTr="00FD690A"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2A7146" w:rsidRPr="006C2E98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Historia literatury niemieckojęzycznej w wieku XIX (lub kurs równoważny)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kształcenia 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A7146" w:rsidRPr="00BA67FE" w:rsidTr="00FD690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1838"/>
        </w:trPr>
        <w:tc>
          <w:tcPr>
            <w:tcW w:w="1979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80BA3" w:rsidRPr="00880BA3" w:rsidRDefault="002A7146" w:rsidP="00FD690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W1: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ma pogłębioną i poszerzoną wiedzę o specyfice przedmiotowej i metodologicznej nauk filologicznych, a zwłaszcza filologii germańskiej</w:t>
            </w:r>
          </w:p>
          <w:p w:rsidR="002A7146" w:rsidRPr="00880BA3" w:rsidRDefault="00880BA3" w:rsidP="00FD690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W2: </w:t>
            </w:r>
            <w:r w:rsidRPr="00880BA3">
              <w:rPr>
                <w:rFonts w:ascii="Arial" w:hAnsi="Arial" w:cs="Arial"/>
                <w:sz w:val="20"/>
                <w:szCs w:val="20"/>
              </w:rPr>
              <w:t xml:space="preserve">posiada pogłębioną wiedzę o powiązaniach dziedzin nauki i dyscyplin naukowych właściwych dla filologii, zwłaszcza filologii germańskiej (ze szczególnym uwzględnieniem literaturoznawstwa), pozwalającą na integrowanie perspektyw właściwych dla kilku dyscyplin 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>W</w:t>
            </w:r>
            <w:r w:rsidR="00880BA3" w:rsidRPr="00880BA3">
              <w:rPr>
                <w:rFonts w:ascii="Arial" w:eastAsia="MyriadPro-Regular" w:hAnsi="Arial" w:cs="Arial"/>
                <w:sz w:val="20"/>
                <w:szCs w:val="20"/>
              </w:rPr>
              <w:t>3</w:t>
            </w: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ma pogłębioną wiedzę o kompleksowej naturze i zmienności zjawisk kulturowych, w tym literackich, dziejowych i językowych</w:t>
            </w:r>
          </w:p>
        </w:tc>
        <w:tc>
          <w:tcPr>
            <w:tcW w:w="2365" w:type="dxa"/>
          </w:tcPr>
          <w:p w:rsidR="002A7146" w:rsidRPr="006C2E98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  <w:r w:rsidR="002A7146" w:rsidRPr="006C2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6C2E98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6C2E98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Pr="00482BAD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A7146" w:rsidRPr="00BA67FE" w:rsidTr="00FD690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2116"/>
        </w:trPr>
        <w:tc>
          <w:tcPr>
            <w:tcW w:w="1985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A7146" w:rsidRPr="00880BA3" w:rsidRDefault="002A7146" w:rsidP="00880BA3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U1: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precyzyjnie formułuje i analizuje nawet kompleksowe problemy badawcze w zakresie literaturoznawstwa, językoznawstwa oraz dotyczące kultury i historii krajów niemieckiego obszaru językowego</w:t>
            </w:r>
          </w:p>
          <w:p w:rsidR="002A7146" w:rsidRPr="00880BA3" w:rsidRDefault="002A7146" w:rsidP="00880BA3">
            <w:pPr>
              <w:rPr>
                <w:rFonts w:ascii="Arial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U2: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 xml:space="preserve">przeprowadza krytyczną analizę i interpretację różnych rodzajów wytworów kultury, w szczególności dzieł niemieckiej literatury pięknej, stosując oryginalne podejścia, uwzględniające nowe osiągnięcia humanistyki, w celu określenia znaczeń tychże wytworów, ich oddziaływania społecznego i miejsca w procesie historyczno-kulturowym </w:t>
            </w:r>
          </w:p>
          <w:p w:rsidR="002A7146" w:rsidRPr="00880BA3" w:rsidRDefault="002A7146" w:rsidP="00880BA3">
            <w:pPr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 w:rsidRPr="00880BA3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U3: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jest przygotowany do ustawicznego rozwijania swoich kompetencji i wiedzy, rozumie potrzebę stałego podnoszenia swoich kwalifikacji</w:t>
            </w:r>
          </w:p>
        </w:tc>
        <w:tc>
          <w:tcPr>
            <w:tcW w:w="2410" w:type="dxa"/>
          </w:tcPr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880BA3">
              <w:rPr>
                <w:rFonts w:ascii="Arial" w:hAnsi="Arial" w:cs="Arial"/>
                <w:sz w:val="20"/>
                <w:szCs w:val="20"/>
              </w:rPr>
              <w:t>_U03</w:t>
            </w: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 w:rsidRPr="000C6653">
              <w:rPr>
                <w:rFonts w:ascii="Arial" w:hAnsi="Arial" w:cs="Arial"/>
                <w:sz w:val="20"/>
                <w:szCs w:val="20"/>
              </w:rPr>
              <w:t>K</w:t>
            </w:r>
            <w:r w:rsidR="00880BA3">
              <w:rPr>
                <w:rFonts w:ascii="Arial" w:hAnsi="Arial" w:cs="Arial"/>
                <w:sz w:val="20"/>
                <w:szCs w:val="20"/>
              </w:rPr>
              <w:t>2_U06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K2_U13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A7146" w:rsidRPr="00BA67FE" w:rsidTr="00FD690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1404"/>
        </w:trPr>
        <w:tc>
          <w:tcPr>
            <w:tcW w:w="1985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1641C" w:rsidRPr="0031641C" w:rsidRDefault="002A7146" w:rsidP="00FD690A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K1: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 xml:space="preserve">rozumie znaczenie wiedzy w rozwiązywaniu problemów </w:t>
            </w:r>
          </w:p>
          <w:p w:rsidR="002A7146" w:rsidRPr="0031641C" w:rsidRDefault="002A7146" w:rsidP="00FD690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K2: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>odczuwa potrzebę uczestniczenia w życiu kulturalnym, interesuje się aktualnymi wydarzeniami kulturalnymi, nowatorskimi formami wyrazu artystycznego, nowymi zjawiskami w sztuce</w:t>
            </w:r>
            <w:r w:rsidR="0031641C"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</w:p>
          <w:p w:rsidR="002A7146" w:rsidRPr="00BA67FE" w:rsidRDefault="002A7146" w:rsidP="00FD690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K3: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0C6653">
              <w:rPr>
                <w:rFonts w:ascii="Arial" w:hAnsi="Arial" w:cs="Arial"/>
                <w:sz w:val="20"/>
                <w:szCs w:val="20"/>
              </w:rPr>
              <w:t>_K03</w:t>
            </w: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31641C" w:rsidRDefault="0031641C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31641C">
              <w:rPr>
                <w:rFonts w:ascii="Arial" w:hAnsi="Arial" w:cs="Arial"/>
                <w:sz w:val="20"/>
                <w:szCs w:val="20"/>
              </w:rPr>
              <w:t>_K04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A7146" w:rsidRPr="00BA67FE" w:rsidTr="00FD69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A7146" w:rsidRPr="00BA67FE" w:rsidTr="00FD690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A7146" w:rsidRPr="00BA67FE" w:rsidTr="00FD690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146" w:rsidRPr="00BA67FE" w:rsidTr="00FD690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146" w:rsidRPr="00BA67FE" w:rsidTr="00FD690A">
        <w:trPr>
          <w:trHeight w:val="462"/>
        </w:trPr>
        <w:tc>
          <w:tcPr>
            <w:tcW w:w="1611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BA67FE" w:rsidTr="00FD690A">
        <w:trPr>
          <w:trHeight w:val="1286"/>
        </w:trPr>
        <w:tc>
          <w:tcPr>
            <w:tcW w:w="9622" w:type="dxa"/>
          </w:tcPr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metody</w:t>
            </w:r>
            <w:r w:rsidRPr="00471A72">
              <w:rPr>
                <w:rFonts w:ascii="Arial" w:hAnsi="Arial" w:cs="Arial"/>
                <w:sz w:val="20"/>
                <w:szCs w:val="20"/>
              </w:rPr>
              <w:t xml:space="preserve"> poda</w:t>
            </w:r>
            <w:r>
              <w:rPr>
                <w:rFonts w:ascii="Arial" w:hAnsi="Arial" w:cs="Arial"/>
                <w:sz w:val="20"/>
                <w:szCs w:val="20"/>
              </w:rPr>
              <w:t>jące</w:t>
            </w:r>
            <w:r w:rsidRPr="00471A72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wykład informacyjny, opis, objaśnienie)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metoda problemowa (wykład konwersatoryjny)</w:t>
            </w: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Formy sprawdzania efektów kształcenia</w:t>
      </w: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A7146" w:rsidRPr="00BA67FE" w:rsidTr="00FD690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A7146" w:rsidRPr="00BA67FE" w:rsidTr="00FD69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880BA3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80BA3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Default="00EF52CE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Default="00EF52CE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BA67FE" w:rsidRDefault="002A7146" w:rsidP="00FD690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>
              <w:rPr>
                <w:rFonts w:ascii="Arial" w:hAnsi="Arial" w:cs="Arial"/>
                <w:sz w:val="20"/>
                <w:szCs w:val="20"/>
              </w:rPr>
              <w:t xml:space="preserve"> uczestnictwo w zajęciach, udział w dyskusji w czasie zajęć.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BA67FE" w:rsidTr="00FD690A">
        <w:trPr>
          <w:trHeight w:val="1136"/>
        </w:trPr>
        <w:tc>
          <w:tcPr>
            <w:tcW w:w="9622" w:type="dxa"/>
          </w:tcPr>
          <w:p w:rsidR="002A7146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Znajomości kontekstów historycznych;</w:t>
            </w:r>
          </w:p>
          <w:p w:rsidR="002A7146" w:rsidRDefault="002A7146" w:rsidP="00FD690A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Możliwości a cele badania nad recepcją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Dyskusja na temat problemów wybranych gatunków (np. dramat, dziennik)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Prezentacja nowych metod naukowych,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Dyskusja na temat głównych pojęć w badaniach literackich (np. mit)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Pr="0014423A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edycji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3E4204" w:rsidTr="00FD690A">
        <w:trPr>
          <w:trHeight w:val="1098"/>
        </w:trPr>
        <w:tc>
          <w:tcPr>
            <w:tcW w:w="9622" w:type="dxa"/>
          </w:tcPr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Gaczorek, Agata: Die Berliner Theateraufführung von Hebbels </w:t>
            </w:r>
            <w:r w:rsidRPr="00F67515">
              <w:rPr>
                <w:rFonts w:ascii="Arial" w:hAnsi="Arial" w:cs="Arial"/>
                <w:i/>
                <w:sz w:val="20"/>
                <w:szCs w:val="20"/>
                <w:lang w:val="de-DE"/>
              </w:rPr>
              <w:t>Judith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als Dokument des Biedermeier. In: Hebbel-Jahrbuch 71 (2016), Heide/Holst, S. 41-58.</w:t>
            </w:r>
          </w:p>
          <w:p w:rsidR="0031641C" w:rsidRDefault="0031641C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Gerlach, U. Henry: Hebbel-Bibliographie 1910-1970, Heidelberg: 1973.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5F5F">
              <w:rPr>
                <w:rFonts w:ascii="Arial" w:hAnsi="Arial" w:cs="Arial"/>
                <w:sz w:val="20"/>
                <w:szCs w:val="20"/>
                <w:lang w:val="de-DE"/>
              </w:rPr>
              <w:t>Grübel, Rainer, Ralf Grüttemeier, Helmut Lethen: Orientierung Literaturwissenschaft.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Was sie kann, was sie will. Reinbek 2001.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Kaiser, Herbert: Friedrich Hebbel. Geschichtliche Interpretation des dramatischen Werks. München: 1983.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Langner, Paul Martin: Überlegungen zur Rezeption der Werke Friedrich Hebbels im 19. Jahrhundert. In: Hebbel-Jahrbuch 72/2017, Heide/Holst., S. 78-87.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Parr, Rolf und Alfred K. Treml: Literaturwissenschaft und Pädagogik. In: Literaturwissenschaft – interdisziplinär. Hg. Lothar van Laak und Katja Malsch. Heidelberg, 2010, S. 169-182. 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Ritzer, Monika (ed.) Friedrich Hebbel Tagebücher. Berlin: de Gruyter, 2017. 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Thomsen, Hargen: „Die Basrelief von der Wand ablösen“. Die Dramatisierung des Epischen am Beispiel von Friedrich Hebbel und Moritz Rinkes Nibelungen Dramen. In: Raumformen in der Gegenwartsdramatik. Hg. Paul Martin Langner und Agata Mirecka. Frankfurt/M. 2017, S. 109- 126.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Wütschke, Hans: Hebbel-Bibliographie. Berlin: 1907.</w:t>
            </w:r>
          </w:p>
          <w:p w:rsidR="002A7146" w:rsidRPr="003E4204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Entsprechende Artikel aus dem Reallexikon für Literaturwissenschaft. Hg. Klaus Weimar u.a. Berlin: 2003.</w:t>
            </w:r>
          </w:p>
        </w:tc>
      </w:tr>
    </w:tbl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  <w:r w:rsidRPr="00FB5F5F">
        <w:rPr>
          <w:rFonts w:ascii="Arial" w:hAnsi="Arial" w:cs="Arial"/>
          <w:sz w:val="20"/>
          <w:szCs w:val="20"/>
          <w:lang w:val="de-DE"/>
        </w:rPr>
        <w:t>Wykaz literatury uzupełniającej</w:t>
      </w:r>
    </w:p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850574" w:rsidTr="00FD690A">
        <w:trPr>
          <w:trHeight w:val="1112"/>
        </w:trPr>
        <w:tc>
          <w:tcPr>
            <w:tcW w:w="9622" w:type="dxa"/>
          </w:tcPr>
          <w:p w:rsidR="002A7146" w:rsidRPr="00FB5F5F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5F5F">
              <w:rPr>
                <w:rFonts w:ascii="Arial" w:hAnsi="Arial" w:cs="Arial"/>
                <w:sz w:val="20"/>
                <w:szCs w:val="20"/>
                <w:lang w:val="de-DE"/>
              </w:rPr>
              <w:t>Blumenberg, Hans: Arbeit am Mythos. Frankfurt/M. 2017, 5. Aufl.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Häntzschel, Günter (hg): Studien zu Hebbels Tagebüchern. München: 1994.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Meetz, Anni: Friedrich Hebbel. Stuttgart: 1965, 2. Aufl. 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Ritzer, Monika: Friedrich Hebbel. Der Individualist und seine Epoche, Eine Biographie. Göttingen: 2018.</w:t>
            </w:r>
          </w:p>
          <w:p w:rsidR="0031641C" w:rsidRDefault="0031641C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Roselli, Antonio: „</w:t>
            </w:r>
            <w:r w:rsidRPr="0031641C">
              <w:rPr>
                <w:rFonts w:ascii="Arial" w:hAnsi="Arial" w:cs="Arial"/>
                <w:i/>
                <w:sz w:val="20"/>
                <w:szCs w:val="20"/>
                <w:lang w:val="de-DE"/>
              </w:rPr>
              <w:t>alles scheint mir jetzt möglich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“. Zum Verhältnis von Handlung und Kontingenz bei Grabbe, Büchner, Hebbel und Grillparzer. Bielefeld: 2019.</w:t>
            </w:r>
          </w:p>
          <w:p w:rsidR="002A7146" w:rsidRPr="002A7146" w:rsidRDefault="0031641C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 </w:t>
            </w:r>
            <w:r w:rsidR="002A7146">
              <w:rPr>
                <w:rFonts w:ascii="Arial" w:hAnsi="Arial" w:cs="Arial"/>
                <w:sz w:val="20"/>
                <w:szCs w:val="20"/>
                <w:lang w:val="de-DE"/>
              </w:rPr>
              <w:t xml:space="preserve">Münkler, Herfried: Die Deutschen und ihre Mythen. </w:t>
            </w:r>
            <w:r w:rsidR="002A7146" w:rsidRPr="002A7146">
              <w:rPr>
                <w:rFonts w:ascii="Arial" w:hAnsi="Arial" w:cs="Arial"/>
                <w:sz w:val="20"/>
                <w:szCs w:val="20"/>
                <w:lang w:val="de-DE"/>
              </w:rPr>
              <w:t xml:space="preserve">Rowohlt Berlin, 2009. </w:t>
            </w:r>
          </w:p>
        </w:tc>
      </w:tr>
    </w:tbl>
    <w:p w:rsidR="002A7146" w:rsidRPr="002A7146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p w:rsidR="002A7146" w:rsidRPr="002A7146" w:rsidRDefault="002A7146" w:rsidP="002A7146">
      <w:pPr>
        <w:rPr>
          <w:rFonts w:ascii="Arial" w:hAnsi="Arial" w:cs="Arial"/>
          <w:sz w:val="20"/>
          <w:szCs w:val="20"/>
          <w:lang w:val="de-DE"/>
        </w:rPr>
      </w:pPr>
      <w:r w:rsidRPr="002A7146">
        <w:rPr>
          <w:rFonts w:ascii="Arial" w:hAnsi="Arial" w:cs="Arial"/>
          <w:sz w:val="20"/>
          <w:szCs w:val="20"/>
          <w:lang w:val="de-DE"/>
        </w:rPr>
        <w:br w:type="page"/>
      </w:r>
    </w:p>
    <w:p w:rsidR="002A7146" w:rsidRPr="00BA67FE" w:rsidRDefault="002A7146" w:rsidP="002A7146">
      <w:pPr>
        <w:pStyle w:val="Tekstdymka1"/>
        <w:rPr>
          <w:rFonts w:ascii="Arial" w:hAnsi="Arial" w:cs="Arial"/>
          <w:sz w:val="20"/>
          <w:szCs w:val="20"/>
        </w:rPr>
      </w:pPr>
      <w:r w:rsidRPr="00F67515">
        <w:rPr>
          <w:rFonts w:ascii="Arial" w:hAnsi="Arial" w:cs="Arial"/>
          <w:sz w:val="20"/>
          <w:szCs w:val="20"/>
        </w:rPr>
        <w:lastRenderedPageBreak/>
        <w:t>Bilans godzinowy zgod</w:t>
      </w:r>
      <w:r w:rsidRPr="00BA67FE">
        <w:rPr>
          <w:rFonts w:ascii="Arial" w:hAnsi="Arial" w:cs="Arial"/>
          <w:sz w:val="20"/>
          <w:szCs w:val="20"/>
        </w:rPr>
        <w:t>ny z CNPS (Całkowity Nakład Pracy Studenta)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A7146" w:rsidRPr="00BA67FE" w:rsidTr="00FD690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A7146" w:rsidRPr="00BA67FE" w:rsidTr="00FD690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A7146" w:rsidRPr="00BA67FE" w:rsidTr="00FD690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2A7146" w:rsidRPr="00BA67FE" w:rsidTr="00FD690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2A7146" w:rsidRPr="00BA67FE" w:rsidTr="00FD690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2A7146" w:rsidRPr="00BA67FE" w:rsidTr="00FD690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A7146" w:rsidRPr="000E0DA3" w:rsidRDefault="002A7146" w:rsidP="002A714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725D2A" w:rsidRDefault="00725D2A"/>
    <w:sectPr w:rsidR="00725D2A" w:rsidSect="00C16AB7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F59" w:rsidRDefault="009F6F59">
      <w:r>
        <w:separator/>
      </w:r>
    </w:p>
  </w:endnote>
  <w:endnote w:type="continuationSeparator" w:id="0">
    <w:p w:rsidR="009F6F59" w:rsidRDefault="009F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0"/>
    <w:family w:val="auto"/>
    <w:pitch w:val="default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4A" w:rsidRDefault="002A714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50574">
      <w:rPr>
        <w:noProof/>
      </w:rPr>
      <w:t>1</w:t>
    </w:r>
    <w:r>
      <w:rPr>
        <w:noProof/>
      </w:rPr>
      <w:fldChar w:fldCharType="end"/>
    </w:r>
  </w:p>
  <w:p w:rsidR="007E1A4A" w:rsidRDefault="009F6F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F59" w:rsidRDefault="009F6F59">
      <w:r>
        <w:separator/>
      </w:r>
    </w:p>
  </w:footnote>
  <w:footnote w:type="continuationSeparator" w:id="0">
    <w:p w:rsidR="009F6F59" w:rsidRDefault="009F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4A" w:rsidRDefault="009F6F5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604E0"/>
    <w:multiLevelType w:val="hybridMultilevel"/>
    <w:tmpl w:val="C5F624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146"/>
    <w:rsid w:val="002A7146"/>
    <w:rsid w:val="0031641C"/>
    <w:rsid w:val="00725D2A"/>
    <w:rsid w:val="00850574"/>
    <w:rsid w:val="00880BA3"/>
    <w:rsid w:val="009F6F59"/>
    <w:rsid w:val="00E0473B"/>
    <w:rsid w:val="00E70615"/>
    <w:rsid w:val="00EF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CEDC8-405C-4107-B290-A755B6BC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7146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2A714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7146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2A7146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2A7146"/>
    <w:rPr>
      <w:rFonts w:ascii="Arial" w:eastAsia="Times New Roman" w:hAnsi="Arial"/>
      <w:kern w:val="0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2A714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A7146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2A7146"/>
    <w:pPr>
      <w:suppressLineNumbers/>
    </w:pPr>
  </w:style>
  <w:style w:type="paragraph" w:customStyle="1" w:styleId="Tekstdymka1">
    <w:name w:val="Tekst dymka1"/>
    <w:basedOn w:val="Normalny"/>
    <w:rsid w:val="002A714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7146"/>
    <w:pPr>
      <w:ind w:left="720"/>
      <w:contextualSpacing/>
    </w:pPr>
  </w:style>
  <w:style w:type="character" w:customStyle="1" w:styleId="FontStyle37">
    <w:name w:val="Font Style37"/>
    <w:uiPriority w:val="99"/>
    <w:rsid w:val="002A7146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7146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922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UP Kraków im. KEN</Company>
  <LinksUpToDate>false</LinksUpToDate>
  <CharactersWithSpaces>6718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Langner</dc:creator>
  <cp:keywords/>
  <dc:description/>
  <cp:lastModifiedBy>pml</cp:lastModifiedBy>
  <cp:revision>3</cp:revision>
  <dcterms:created xsi:type="dcterms:W3CDTF">2019-09-16T12:52:00Z</dcterms:created>
  <dcterms:modified xsi:type="dcterms:W3CDTF">2019-09-16T13:26:00Z</dcterms:modified>
</cp:coreProperties>
</file>